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360" w:lineRule="auto"/>
        <w:ind w:firstLine="0" w:firstLineChars="0"/>
        <w:jc w:val="both"/>
        <w:rPr>
          <w:rFonts w:hint="eastAsia" w:ascii="宋体" w:hAnsi="宋体"/>
          <w:bCs/>
          <w:sz w:val="22"/>
          <w:szCs w:val="24"/>
        </w:rPr>
      </w:pPr>
      <w:bookmarkStart w:id="0" w:name="_GoBack"/>
      <w:bookmarkEnd w:id="0"/>
    </w:p>
    <w:tbl>
      <w:tblPr>
        <w:tblStyle w:val="13"/>
        <w:tblW w:w="9617" w:type="dxa"/>
        <w:jc w:val="center"/>
        <w:tblLayout w:type="autofit"/>
        <w:tblCellMar>
          <w:top w:w="0" w:type="dxa"/>
          <w:left w:w="108" w:type="dxa"/>
          <w:bottom w:w="0" w:type="dxa"/>
          <w:right w:w="108" w:type="dxa"/>
        </w:tblCellMar>
      </w:tblPr>
      <w:tblGrid>
        <w:gridCol w:w="2400"/>
        <w:gridCol w:w="3608"/>
        <w:gridCol w:w="3609"/>
      </w:tblGrid>
      <w:tr>
        <w:tblPrEx>
          <w:tblCellMar>
            <w:top w:w="0" w:type="dxa"/>
            <w:left w:w="108" w:type="dxa"/>
            <w:bottom w:w="0" w:type="dxa"/>
            <w:right w:w="108" w:type="dxa"/>
          </w:tblCellMar>
        </w:tblPrEx>
        <w:trPr>
          <w:trHeight w:val="145" w:hRule="atLeast"/>
          <w:jc w:val="center"/>
        </w:trPr>
        <w:tc>
          <w:tcPr>
            <w:tcW w:w="9617" w:type="dxa"/>
            <w:gridSpan w:val="3"/>
            <w:tcBorders>
              <w:top w:val="single" w:color="000000" w:sz="8" w:space="0"/>
              <w:left w:val="single" w:color="000000" w:sz="8" w:space="0"/>
              <w:bottom w:val="single" w:color="000000" w:sz="8" w:space="0"/>
              <w:right w:val="single" w:color="000000" w:sz="8" w:space="0"/>
            </w:tcBorders>
            <w:vAlign w:val="center"/>
          </w:tcPr>
          <w:p>
            <w:pPr>
              <w:jc w:val="center"/>
              <w:rPr>
                <w:b/>
              </w:rPr>
            </w:pPr>
            <w:r>
              <w:rPr>
                <w:rFonts w:hint="eastAsia"/>
                <w:b/>
              </w:rPr>
              <w:t>萌宠放心保</w:t>
            </w:r>
          </w:p>
        </w:tc>
      </w:tr>
      <w:tr>
        <w:tblPrEx>
          <w:tblCellMar>
            <w:top w:w="0" w:type="dxa"/>
            <w:left w:w="108" w:type="dxa"/>
            <w:bottom w:w="0" w:type="dxa"/>
            <w:right w:w="108" w:type="dxa"/>
          </w:tblCellMar>
        </w:tblPrEx>
        <w:trPr>
          <w:trHeight w:val="30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产品方案</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标准版</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豪华版</w:t>
            </w:r>
          </w:p>
        </w:tc>
      </w:tr>
      <w:tr>
        <w:tblPrEx>
          <w:tblCellMar>
            <w:top w:w="0" w:type="dxa"/>
            <w:left w:w="108" w:type="dxa"/>
            <w:bottom w:w="0" w:type="dxa"/>
            <w:right w:w="108" w:type="dxa"/>
          </w:tblCellMar>
        </w:tblPrEx>
        <w:trPr>
          <w:trHeight w:val="30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等待期</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良、恶性肿瘤类疾病：90天，常规疾病：30天，</w:t>
            </w:r>
          </w:p>
          <w:p>
            <w:pPr>
              <w:rPr>
                <w:bCs/>
              </w:rPr>
            </w:pPr>
            <w:r>
              <w:rPr>
                <w:rFonts w:hint="eastAsia"/>
                <w:bCs/>
              </w:rPr>
              <w:t>意外无等待期</w:t>
            </w:r>
          </w:p>
          <w:p>
            <w:pPr>
              <w:rPr>
                <w:bCs/>
              </w:rPr>
            </w:pPr>
            <w:r>
              <w:rPr>
                <w:rFonts w:hint="eastAsia"/>
                <w:bCs/>
              </w:rPr>
              <w:t>续保无等待期</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保险期限</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1年</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投保地区</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中华人民共和国大陆地区</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投保宠物年龄</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90天-10周岁宠物犬、猫，续保无年龄上限</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宠物标的信息</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宠物照片（鼻纹照、全身照）、宠物名称、宠物出生日期、宠物性别、宠物品种</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宠物医疗责任累计赔偿限额</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12,000元</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35,000元</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宠物医疗责任每次事故赔偿限额</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700元</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2,000元</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免赔额</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0元</w:t>
            </w:r>
          </w:p>
        </w:tc>
      </w:tr>
      <w:tr>
        <w:tblPrEx>
          <w:tblCellMar>
            <w:top w:w="0" w:type="dxa"/>
            <w:left w:w="108" w:type="dxa"/>
            <w:bottom w:w="0" w:type="dxa"/>
            <w:right w:w="108" w:type="dxa"/>
          </w:tblCellMar>
        </w:tblPrEx>
        <w:trPr>
          <w:trHeight w:val="145"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赔付比例</w:t>
            </w:r>
          </w:p>
        </w:tc>
        <w:tc>
          <w:tcPr>
            <w:tcW w:w="7217" w:type="dxa"/>
            <w:gridSpan w:val="2"/>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本保险保险责任范围内定点医院70%，非定点医院40%</w:t>
            </w:r>
          </w:p>
        </w:tc>
      </w:tr>
      <w:tr>
        <w:tblPrEx>
          <w:tblCellMar>
            <w:top w:w="0" w:type="dxa"/>
            <w:left w:w="108" w:type="dxa"/>
            <w:bottom w:w="0" w:type="dxa"/>
            <w:right w:w="108" w:type="dxa"/>
          </w:tblCellMar>
        </w:tblPrEx>
        <w:trPr>
          <w:trHeight w:val="478"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增值服务</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1.宠物17项基础体检1次</w:t>
            </w:r>
          </w:p>
          <w:p>
            <w:pPr>
              <w:rPr>
                <w:bCs/>
              </w:rPr>
            </w:pPr>
            <w:r>
              <w:rPr>
                <w:rFonts w:hint="eastAsia"/>
                <w:bCs/>
              </w:rPr>
              <w:t>2.邮寄驱虫药（爱沃克内外同驱）1支</w:t>
            </w:r>
          </w:p>
          <w:p>
            <w:pPr>
              <w:rPr>
                <w:bCs/>
              </w:rPr>
            </w:pPr>
            <w:r>
              <w:rPr>
                <w:rFonts w:hint="eastAsia"/>
                <w:bCs/>
              </w:rPr>
              <w:t>3.进口狂犬疫苗1针</w:t>
            </w:r>
          </w:p>
          <w:p>
            <w:pPr>
              <w:rPr>
                <w:bCs/>
              </w:rPr>
            </w:pPr>
            <w:r>
              <w:rPr>
                <w:rFonts w:hint="eastAsia"/>
                <w:bCs/>
              </w:rPr>
              <w:t>4.京东健康宠物在线问诊3次</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1.宠物17项基础体检1次</w:t>
            </w:r>
          </w:p>
          <w:p>
            <w:pPr>
              <w:rPr>
                <w:bCs/>
              </w:rPr>
            </w:pPr>
            <w:r>
              <w:rPr>
                <w:rFonts w:hint="eastAsia"/>
                <w:bCs/>
              </w:rPr>
              <w:t>2.邮寄驱虫药（爱沃克内外同驱）1支</w:t>
            </w:r>
          </w:p>
          <w:p>
            <w:pPr>
              <w:rPr>
                <w:bCs/>
              </w:rPr>
            </w:pPr>
            <w:r>
              <w:rPr>
                <w:rFonts w:hint="eastAsia"/>
                <w:bCs/>
              </w:rPr>
              <w:t>3.进口狂犬疫苗1针</w:t>
            </w:r>
          </w:p>
          <w:p>
            <w:pPr>
              <w:rPr>
                <w:bCs/>
              </w:rPr>
            </w:pPr>
            <w:r>
              <w:rPr>
                <w:rFonts w:hint="eastAsia"/>
                <w:bCs/>
              </w:rPr>
              <w:t>4.猫三联疫苗（妙三多）1针/犬七联八防疫苗（硕腾卫佳捌等）1针</w:t>
            </w:r>
          </w:p>
          <w:p>
            <w:pPr>
              <w:rPr>
                <w:bCs/>
              </w:rPr>
            </w:pPr>
            <w:r>
              <w:rPr>
                <w:rFonts w:hint="eastAsia"/>
                <w:bCs/>
              </w:rPr>
              <w:t>5.京东健康宠物在线问诊3次</w:t>
            </w:r>
          </w:p>
        </w:tc>
      </w:tr>
      <w:tr>
        <w:tblPrEx>
          <w:tblCellMar>
            <w:top w:w="0" w:type="dxa"/>
            <w:left w:w="108" w:type="dxa"/>
            <w:bottom w:w="0" w:type="dxa"/>
            <w:right w:w="108" w:type="dxa"/>
          </w:tblCellMar>
        </w:tblPrEx>
        <w:trPr>
          <w:trHeight w:val="478"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含税保费</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375元</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675元</w:t>
            </w:r>
          </w:p>
        </w:tc>
      </w:tr>
      <w:tr>
        <w:tblPrEx>
          <w:tblCellMar>
            <w:top w:w="0" w:type="dxa"/>
            <w:left w:w="108" w:type="dxa"/>
            <w:bottom w:w="0" w:type="dxa"/>
            <w:right w:w="108" w:type="dxa"/>
          </w:tblCellMar>
        </w:tblPrEx>
        <w:trPr>
          <w:trHeight w:val="478"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税率</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6%</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6%</w:t>
            </w:r>
          </w:p>
        </w:tc>
      </w:tr>
      <w:tr>
        <w:tblPrEx>
          <w:tblCellMar>
            <w:top w:w="0" w:type="dxa"/>
            <w:left w:w="108" w:type="dxa"/>
            <w:bottom w:w="0" w:type="dxa"/>
            <w:right w:w="108" w:type="dxa"/>
          </w:tblCellMar>
        </w:tblPrEx>
        <w:trPr>
          <w:trHeight w:val="478" w:hRule="atLeast"/>
          <w:jc w:val="center"/>
        </w:trPr>
        <w:tc>
          <w:tcPr>
            <w:tcW w:w="2400"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佣金比例</w:t>
            </w:r>
          </w:p>
        </w:tc>
        <w:tc>
          <w:tcPr>
            <w:tcW w:w="3608"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15%</w:t>
            </w:r>
          </w:p>
        </w:tc>
        <w:tc>
          <w:tcPr>
            <w:tcW w:w="3609" w:type="dxa"/>
            <w:tcBorders>
              <w:top w:val="single" w:color="000000" w:sz="8" w:space="0"/>
              <w:left w:val="single" w:color="000000" w:sz="8" w:space="0"/>
              <w:bottom w:val="single" w:color="000000" w:sz="8" w:space="0"/>
              <w:right w:val="single" w:color="000000" w:sz="8" w:space="0"/>
            </w:tcBorders>
            <w:vAlign w:val="center"/>
          </w:tcPr>
          <w:p>
            <w:pPr>
              <w:rPr>
                <w:bCs/>
              </w:rPr>
            </w:pPr>
            <w:r>
              <w:rPr>
                <w:rFonts w:hint="eastAsia"/>
                <w:bCs/>
              </w:rPr>
              <w:t>15%</w:t>
            </w:r>
          </w:p>
        </w:tc>
      </w:tr>
    </w:tbl>
    <w:p/>
    <w:p>
      <w:pPr>
        <w:widowControl/>
      </w:pPr>
      <w:r>
        <w:rPr>
          <w:rFonts w:hint="eastAsia"/>
        </w:rPr>
        <w:br w:type="page"/>
      </w:r>
    </w:p>
    <w:p>
      <w:pPr>
        <w:rPr>
          <w:bCs/>
        </w:rPr>
      </w:pPr>
      <w:r>
        <w:rPr>
          <w:rFonts w:hint="eastAsia"/>
          <w:bCs/>
        </w:rPr>
        <w:t>投保须知:</w:t>
      </w:r>
    </w:p>
    <w:p>
      <w:pPr>
        <w:numPr>
          <w:ilvl w:val="0"/>
          <w:numId w:val="1"/>
        </w:numPr>
        <w:spacing w:after="160" w:line="278" w:lineRule="auto"/>
        <w:jc w:val="left"/>
        <w:rPr>
          <w:bCs/>
        </w:rPr>
      </w:pPr>
      <w:r>
        <w:rPr>
          <w:rFonts w:hint="eastAsia"/>
          <w:bCs/>
        </w:rPr>
        <w:t>本保险承保首次投保90天到10周岁的宠物。</w:t>
      </w:r>
    </w:p>
    <w:p>
      <w:pPr>
        <w:numPr>
          <w:ilvl w:val="0"/>
          <w:numId w:val="1"/>
        </w:numPr>
        <w:spacing w:after="160" w:line="278" w:lineRule="auto"/>
        <w:jc w:val="left"/>
        <w:rPr>
          <w:bCs/>
        </w:rPr>
      </w:pPr>
      <w:r>
        <w:rPr>
          <w:rFonts w:hint="eastAsia"/>
          <w:bCs/>
        </w:rPr>
        <w:t>每只宠物</w:t>
      </w:r>
      <w:r>
        <w:rPr>
          <w:rFonts w:hint="eastAsia"/>
          <w:b/>
          <w:bCs/>
        </w:rPr>
        <w:t>限投保一份</w:t>
      </w:r>
      <w:r>
        <w:rPr>
          <w:rFonts w:hint="eastAsia"/>
          <w:bCs/>
        </w:rPr>
        <w:t>。</w:t>
      </w:r>
    </w:p>
    <w:p>
      <w:pPr>
        <w:numPr>
          <w:ilvl w:val="0"/>
          <w:numId w:val="1"/>
        </w:numPr>
        <w:spacing w:after="160" w:line="278" w:lineRule="auto"/>
        <w:jc w:val="left"/>
        <w:rPr>
          <w:bCs/>
        </w:rPr>
      </w:pPr>
      <w:r>
        <w:rPr>
          <w:rFonts w:hint="eastAsia"/>
          <w:bCs/>
        </w:rPr>
        <w:t>良、恶性肿瘤类疾病</w:t>
      </w:r>
      <w:r>
        <w:rPr>
          <w:rFonts w:hint="eastAsia"/>
          <w:b/>
          <w:bCs/>
        </w:rPr>
        <w:t>等待期</w:t>
      </w:r>
      <w:r>
        <w:rPr>
          <w:b/>
          <w:bCs/>
        </w:rPr>
        <w:t>90</w:t>
      </w:r>
      <w:r>
        <w:rPr>
          <w:rFonts w:hint="eastAsia"/>
          <w:b/>
          <w:bCs/>
        </w:rPr>
        <w:t>天</w:t>
      </w:r>
      <w:r>
        <w:rPr>
          <w:rFonts w:hint="eastAsia"/>
          <w:bCs/>
        </w:rPr>
        <w:t>，其他疾病</w:t>
      </w:r>
      <w:r>
        <w:rPr>
          <w:rFonts w:hint="eastAsia"/>
          <w:b/>
          <w:bCs/>
        </w:rPr>
        <w:t>等待期</w:t>
      </w:r>
      <w:r>
        <w:rPr>
          <w:b/>
          <w:bCs/>
        </w:rPr>
        <w:t>30</w:t>
      </w:r>
      <w:r>
        <w:rPr>
          <w:rFonts w:hint="eastAsia"/>
          <w:b/>
          <w:bCs/>
        </w:rPr>
        <w:t>天</w:t>
      </w:r>
      <w:r>
        <w:rPr>
          <w:rFonts w:hint="eastAsia"/>
          <w:bCs/>
        </w:rPr>
        <w:t>，意外伤害事故无等待期，续保无等待期。</w:t>
      </w:r>
    </w:p>
    <w:p>
      <w:pPr>
        <w:numPr>
          <w:ilvl w:val="0"/>
          <w:numId w:val="1"/>
        </w:numPr>
        <w:spacing w:after="160" w:line="278" w:lineRule="auto"/>
        <w:jc w:val="left"/>
        <w:rPr>
          <w:bCs/>
        </w:rPr>
      </w:pPr>
      <w:r>
        <w:rPr>
          <w:rFonts w:hint="eastAsia"/>
          <w:bCs/>
        </w:rPr>
        <w:t>指定宠物医疗机构接受治疗，并符合医疗项目而实际支付的必要费用的，</w:t>
      </w:r>
      <w:r>
        <w:rPr>
          <w:rFonts w:hint="eastAsia"/>
          <w:b/>
          <w:bCs/>
        </w:rPr>
        <w:t>按</w:t>
      </w:r>
      <w:r>
        <w:rPr>
          <w:b/>
          <w:bCs/>
        </w:rPr>
        <w:t>70%</w:t>
      </w:r>
      <w:r>
        <w:rPr>
          <w:rFonts w:hint="eastAsia"/>
          <w:b/>
          <w:bCs/>
        </w:rPr>
        <w:t>的比例</w:t>
      </w:r>
      <w:r>
        <w:rPr>
          <w:rFonts w:hint="eastAsia"/>
          <w:bCs/>
        </w:rPr>
        <w:t>给付医疗保险金；在非指定宠物医疗机构接受治疗，并符合医疗项目而实际支付的必要费用的，</w:t>
      </w:r>
      <w:r>
        <w:rPr>
          <w:rFonts w:hint="eastAsia"/>
          <w:b/>
          <w:bCs/>
        </w:rPr>
        <w:t>按</w:t>
      </w:r>
      <w:r>
        <w:rPr>
          <w:b/>
          <w:bCs/>
        </w:rPr>
        <w:t>40%</w:t>
      </w:r>
      <w:r>
        <w:rPr>
          <w:rFonts w:hint="eastAsia"/>
          <w:b/>
          <w:bCs/>
        </w:rPr>
        <w:t>的比例</w:t>
      </w:r>
      <w:r>
        <w:rPr>
          <w:rFonts w:hint="eastAsia"/>
          <w:bCs/>
        </w:rPr>
        <w:t>给付医疗保险金。</w:t>
      </w:r>
    </w:p>
    <w:p>
      <w:pPr>
        <w:numPr>
          <w:ilvl w:val="0"/>
          <w:numId w:val="1"/>
        </w:numPr>
        <w:spacing w:after="160" w:line="278" w:lineRule="auto"/>
        <w:jc w:val="left"/>
        <w:rPr>
          <w:bCs/>
        </w:rPr>
      </w:pPr>
      <w:r>
        <w:rPr>
          <w:rFonts w:hint="eastAsia"/>
          <w:bCs/>
        </w:rPr>
        <w:t>每/单次事故说明：遵从近因原则，以导致事故/疾病的一次起因作为单次事故/疾病依据，并以导致损失最直接、最有效、起决定作用的原因作为一次事故/疾病的起因，若一次近因无发生逻辑断裂的前提下，发生多个损失事件，则都计算进一次事故的损失金额。</w:t>
      </w:r>
    </w:p>
    <w:p>
      <w:pPr>
        <w:rPr>
          <w:bCs/>
        </w:rPr>
      </w:pPr>
    </w:p>
    <w:p>
      <w:pPr>
        <w:rPr>
          <w:bCs/>
        </w:rPr>
      </w:pPr>
      <w:r>
        <w:rPr>
          <w:rFonts w:hint="eastAsia"/>
          <w:bCs/>
        </w:rPr>
        <w:t>健康告知：</w:t>
      </w:r>
    </w:p>
    <w:p>
      <w:pPr>
        <w:rPr>
          <w:b/>
          <w:bCs/>
        </w:rPr>
      </w:pPr>
      <w:r>
        <w:rPr>
          <w:rFonts w:hint="eastAsia"/>
          <w:bCs/>
        </w:rPr>
        <w:t>投保人应在对被保险宠物健康状况充分了解的基础上履行如实告知义务。投保人承诺完全知晓被保险宠物的健康状况，并向保险人如实告知。</w:t>
      </w:r>
      <w:r>
        <w:rPr>
          <w:rFonts w:hint="eastAsia"/>
          <w:b/>
          <w:bCs/>
        </w:rPr>
        <w:t>若被保险宠物健康状况与您告知内容不符，实际存在下列健康/行为情况的，发生保险事故后，本公司不承担赔偿责任：</w:t>
      </w:r>
    </w:p>
    <w:p>
      <w:pPr>
        <w:rPr>
          <w:bCs/>
        </w:rPr>
      </w:pPr>
    </w:p>
    <w:p>
      <w:pPr>
        <w:numPr>
          <w:ilvl w:val="0"/>
          <w:numId w:val="2"/>
        </w:numPr>
        <w:spacing w:after="160" w:line="278" w:lineRule="auto"/>
        <w:jc w:val="left"/>
        <w:rPr>
          <w:bCs/>
        </w:rPr>
      </w:pPr>
      <w:r>
        <w:rPr>
          <w:rFonts w:hint="eastAsia"/>
          <w:bCs/>
        </w:rPr>
        <w:t>被保险宠物目前或过往已患疾病，包括不限于有以下一种或多种疾病：恶性肿瘤、慢性肾衰竭、糖尿病、肝硬化、肾上腺皮质功能减退症（爱迪生病）、肾上腺皮质技能亢进（库欣氏综合征）、甲状腺疾病、免疫性血小板减少症、免疫性溶血性贫血、巨大结肠症、食道巨大症（食道扩张）、胰腺炎、猫传腹膜炎、白血病。</w:t>
      </w:r>
    </w:p>
    <w:p>
      <w:pPr>
        <w:numPr>
          <w:ilvl w:val="0"/>
          <w:numId w:val="2"/>
        </w:numPr>
        <w:spacing w:after="160" w:line="278" w:lineRule="auto"/>
        <w:jc w:val="left"/>
        <w:rPr>
          <w:bCs/>
        </w:rPr>
      </w:pPr>
      <w:r>
        <w:rPr>
          <w:rFonts w:hint="eastAsia"/>
          <w:bCs/>
        </w:rPr>
        <w:t>被保险宠物从事敏捷比赛、特技表演、马戏表演、防爆、搜救、搜毒、护卫、搜爆、追踪等工作。</w:t>
      </w:r>
    </w:p>
    <w:p>
      <w:pPr>
        <w:numPr>
          <w:ilvl w:val="0"/>
          <w:numId w:val="2"/>
        </w:numPr>
        <w:spacing w:after="160" w:line="278" w:lineRule="auto"/>
        <w:jc w:val="left"/>
        <w:rPr>
          <w:bCs/>
        </w:rPr>
      </w:pPr>
      <w:r>
        <w:rPr>
          <w:rFonts w:hint="eastAsia"/>
          <w:bCs/>
        </w:rPr>
        <w:t>被保险宠物参与潜水、跳伞、蹦极、攀岩、探险、化学、赛车、高危节目拍摄等活动。</w:t>
      </w:r>
    </w:p>
    <w:p>
      <w:pPr>
        <w:numPr>
          <w:ilvl w:val="0"/>
          <w:numId w:val="2"/>
        </w:numPr>
        <w:spacing w:after="160" w:line="278" w:lineRule="auto"/>
        <w:jc w:val="left"/>
        <w:rPr>
          <w:bCs/>
        </w:rPr>
      </w:pPr>
      <w:r>
        <w:rPr>
          <w:rFonts w:hint="eastAsia"/>
          <w:bCs/>
        </w:rPr>
        <w:t>被保险宠物在投保前1个月内有便血、尿血、呕血、发热、腹胀、黄疸、厌食、抽搐、精神萎靡、突然消瘦（体重减轻10%以上）、呕吐、出现明显肿块的情况。</w:t>
      </w:r>
    </w:p>
    <w:p>
      <w:pPr>
        <w:numPr>
          <w:ilvl w:val="0"/>
          <w:numId w:val="2"/>
        </w:numPr>
        <w:spacing w:after="160" w:line="278" w:lineRule="auto"/>
        <w:jc w:val="left"/>
        <w:rPr>
          <w:bCs/>
        </w:rPr>
      </w:pPr>
      <w:r>
        <w:rPr>
          <w:rFonts w:hint="eastAsia"/>
          <w:bCs/>
        </w:rPr>
        <w:t>被保险宠物在投保前近6个月内发生过骨折、脱臼、异物堵塞、肠套叠、肠扭转、气胸、血胸、脓胸、癫痫或中毒。</w:t>
      </w:r>
    </w:p>
    <w:p>
      <w:pPr>
        <w:numPr>
          <w:ilvl w:val="0"/>
          <w:numId w:val="2"/>
        </w:numPr>
        <w:spacing w:after="160" w:line="278" w:lineRule="auto"/>
        <w:jc w:val="left"/>
        <w:rPr>
          <w:bCs/>
        </w:rPr>
      </w:pPr>
      <w:r>
        <w:rPr>
          <w:rFonts w:hint="eastAsia"/>
          <w:bCs/>
        </w:rPr>
        <w:t>被保险宠物投保前近3个月内曾发生过犬瘟、细小、冠状病毒、腺病毒等烈性传染病。</w:t>
      </w:r>
    </w:p>
    <w:p>
      <w:pPr>
        <w:rPr>
          <w:rFonts w:hint="eastAsia"/>
        </w:rPr>
      </w:pPr>
      <w:r>
        <w:rPr>
          <w:rFonts w:hint="eastAsia"/>
          <w:bCs/>
        </w:rPr>
        <w:t>被保险宠物患有经省、自治区、直辖市人民政府兽医主管部门认定为动物疫情的传染病类疾病，例如：狂犬、伪狂犬、钩端螺旋体、结核病、布鲁氏菌等疾病。</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442FF"/>
    <w:multiLevelType w:val="multilevel"/>
    <w:tmpl w:val="0C4442FF"/>
    <w:lvl w:ilvl="0" w:tentative="0">
      <w:start w:val="1"/>
      <w:numFmt w:val="decimal"/>
      <w:lvlText w:val="%1."/>
      <w:lvlJc w:val="left"/>
      <w:pPr>
        <w:ind w:left="920" w:hanging="440"/>
      </w:pPr>
    </w:lvl>
    <w:lvl w:ilvl="1" w:tentative="0">
      <w:start w:val="1"/>
      <w:numFmt w:val="decimal"/>
      <w:lvlText w:val="%2)"/>
      <w:lvlJc w:val="left"/>
      <w:pPr>
        <w:ind w:left="1496" w:hanging="576"/>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505466F1"/>
    <w:multiLevelType w:val="multilevel"/>
    <w:tmpl w:val="505466F1"/>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BC"/>
    <w:rsid w:val="000C00BC"/>
    <w:rsid w:val="00146381"/>
    <w:rsid w:val="003845A6"/>
    <w:rsid w:val="004A7D50"/>
    <w:rsid w:val="0079203E"/>
    <w:rsid w:val="00801F56"/>
    <w:rsid w:val="00E243A0"/>
    <w:rsid w:val="00E7535B"/>
    <w:rsid w:val="75C3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6"/>
    <w:qFormat/>
    <w:uiPriority w:val="9"/>
    <w:pPr>
      <w:keepNext/>
      <w:keepLines/>
      <w:spacing w:before="480" w:after="80"/>
      <w:jc w:val="center"/>
      <w:outlineLvl w:val="0"/>
    </w:pPr>
    <w:rPr>
      <w:rFonts w:asciiTheme="majorHAnsi" w:hAnsiTheme="majorHAnsi" w:eastAsiaTheme="majorEastAsia" w:cstheme="majorBidi"/>
      <w:color w:val="000000" w:themeColor="text1"/>
      <w:sz w:val="32"/>
      <w:szCs w:val="48"/>
      <w14:textFill>
        <w14:solidFill>
          <w14:schemeClr w14:val="tx1"/>
        </w14:solidFill>
      </w14:textFil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sz w:val="30"/>
      <w:szCs w:val="40"/>
    </w:rPr>
  </w:style>
  <w:style w:type="paragraph" w:styleId="4">
    <w:name w:val="heading 3"/>
    <w:basedOn w:val="1"/>
    <w:next w:val="1"/>
    <w:link w:val="15"/>
    <w:unhideWhenUsed/>
    <w:qFormat/>
    <w:uiPriority w:val="9"/>
    <w:pPr>
      <w:keepNext/>
      <w:keepLines/>
      <w:spacing w:before="160" w:after="80"/>
      <w:outlineLvl w:val="2"/>
    </w:pPr>
    <w:rPr>
      <w:rFonts w:asciiTheme="majorHAnsi" w:hAnsiTheme="majorHAnsi" w:eastAsiaTheme="majorEastAsia" w:cstheme="majorBidi"/>
      <w:color w:val="000000" w:themeColor="text1"/>
      <w:sz w:val="28"/>
      <w:szCs w:val="32"/>
      <w14:textFill>
        <w14:solidFill>
          <w14:schemeClr w14:val="tx1"/>
        </w14:solidFill>
      </w14:textFill>
    </w:rPr>
  </w:style>
  <w:style w:type="paragraph" w:styleId="5">
    <w:name w:val="heading 4"/>
    <w:basedOn w:val="1"/>
    <w:next w:val="1"/>
    <w:link w:val="18"/>
    <w:semiHidden/>
    <w:unhideWhenUsed/>
    <w:qFormat/>
    <w:uiPriority w:val="9"/>
    <w:pPr>
      <w:keepNext/>
      <w:keepLines/>
      <w:spacing w:before="80" w:after="40"/>
      <w:outlineLvl w:val="3"/>
    </w:pPr>
    <w:rPr>
      <w:rFonts w:cstheme="majorBidi"/>
      <w:color w:val="000000" w:themeColor="text1"/>
      <w:sz w:val="24"/>
      <w:szCs w:val="28"/>
      <w14:textFill>
        <w14:solidFill>
          <w14:schemeClr w14:val="tx1"/>
        </w14:solidFill>
      </w14:textFill>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3 字符"/>
    <w:basedOn w:val="14"/>
    <w:link w:val="4"/>
    <w:uiPriority w:val="9"/>
    <w:rPr>
      <w:rFonts w:asciiTheme="majorHAnsi" w:hAnsiTheme="majorHAnsi" w:eastAsiaTheme="majorEastAsia" w:cstheme="majorBidi"/>
      <w:color w:val="000000" w:themeColor="text1"/>
      <w:sz w:val="28"/>
      <w:szCs w:val="32"/>
      <w14:textFill>
        <w14:solidFill>
          <w14:schemeClr w14:val="tx1"/>
        </w14:solidFill>
      </w14:textFill>
    </w:rPr>
  </w:style>
  <w:style w:type="character" w:customStyle="1" w:styleId="16">
    <w:name w:val="标题 1 字符"/>
    <w:basedOn w:val="14"/>
    <w:link w:val="2"/>
    <w:uiPriority w:val="9"/>
    <w:rPr>
      <w:rFonts w:asciiTheme="majorHAnsi" w:hAnsiTheme="majorHAnsi" w:eastAsiaTheme="majorEastAsia" w:cstheme="majorBidi"/>
      <w:color w:val="000000" w:themeColor="text1"/>
      <w:sz w:val="32"/>
      <w:szCs w:val="48"/>
      <w14:textFill>
        <w14:solidFill>
          <w14:schemeClr w14:val="tx1"/>
        </w14:solidFill>
      </w14:textFill>
    </w:rPr>
  </w:style>
  <w:style w:type="character" w:customStyle="1" w:styleId="17">
    <w:name w:val="标题 2 字符"/>
    <w:basedOn w:val="14"/>
    <w:link w:val="3"/>
    <w:semiHidden/>
    <w:uiPriority w:val="9"/>
    <w:rPr>
      <w:rFonts w:asciiTheme="majorHAnsi" w:hAnsiTheme="majorHAnsi" w:eastAsiaTheme="majorEastAsia" w:cstheme="majorBidi"/>
      <w:sz w:val="30"/>
      <w:szCs w:val="40"/>
    </w:rPr>
  </w:style>
  <w:style w:type="character" w:customStyle="1" w:styleId="18">
    <w:name w:val="标题 4 字符"/>
    <w:basedOn w:val="14"/>
    <w:link w:val="5"/>
    <w:semiHidden/>
    <w:uiPriority w:val="9"/>
    <w:rPr>
      <w:rFonts w:cstheme="majorBidi"/>
      <w:color w:val="000000" w:themeColor="text1"/>
      <w:sz w:val="24"/>
      <w:szCs w:val="28"/>
      <w14:textFill>
        <w14:solidFill>
          <w14:schemeClr w14:val="tx1"/>
        </w14:solidFill>
      </w14:textFill>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列出段落1"/>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1213</Words>
  <Characters>1269</Characters>
  <Lines>9</Lines>
  <Paragraphs>2</Paragraphs>
  <TotalTime>1</TotalTime>
  <ScaleCrop>false</ScaleCrop>
  <LinksUpToDate>false</LinksUpToDate>
  <CharactersWithSpaces>1269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2025-07-29T09:36:00Z</dcterms:created>
  <dc:creator>fangzhou.26</dc:creator>
  <cp:lastModifiedBy>张秀峰</cp:lastModifiedBy>
  <dcterms:modified xsi:type="dcterms:W3CDTF">2025-08-01T03:36:58Z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D495AB6900E6499F98B2C61E61A04A11</vt:lpwstr>
  </property>
</Properties>
</file>